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太原理工大学研究生学位论文答辩管理办法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r>
        <w:rPr>
          <w:rFonts w:hAnsiTheme="minorEastAsia" w:eastAsiaTheme="minorEastAsia"/>
          <w:sz w:val="24"/>
          <w:szCs w:val="24"/>
        </w:rPr>
        <w:t>为进一步加强对研究生教育质量保证体系的建设，切实保证研究生教育质量，根据《中华人民共和国学位条例》、</w:t>
      </w:r>
      <w:r>
        <w:rPr>
          <w:rFonts w:hAnsiTheme="minorEastAsia" w:eastAsiaTheme="minorEastAsia"/>
          <w:color w:val="000000"/>
          <w:sz w:val="24"/>
          <w:szCs w:val="24"/>
        </w:rPr>
        <w:t>《中华人民共和国学位条例暂行实施办法》以及国务院学位委员会、教育部《关于加强学位与研究生教育质量保证和监督体系建设的意见》（学位〔</w:t>
      </w:r>
      <w:r>
        <w:rPr>
          <w:rFonts w:eastAsiaTheme="minorEastAsia"/>
          <w:color w:val="000000"/>
          <w:sz w:val="24"/>
          <w:szCs w:val="24"/>
        </w:rPr>
        <w:t>2014</w:t>
      </w:r>
      <w:r>
        <w:rPr>
          <w:rFonts w:hAnsiTheme="minorEastAsia" w:eastAsiaTheme="minorEastAsia"/>
          <w:color w:val="000000"/>
          <w:sz w:val="24"/>
          <w:szCs w:val="24"/>
        </w:rPr>
        <w:t>〕</w:t>
      </w:r>
      <w:r>
        <w:rPr>
          <w:rFonts w:eastAsiaTheme="minorEastAsia"/>
          <w:color w:val="000000"/>
          <w:sz w:val="24"/>
          <w:szCs w:val="24"/>
        </w:rPr>
        <w:t>3</w:t>
      </w:r>
      <w:r>
        <w:rPr>
          <w:rFonts w:hAnsiTheme="minorEastAsia" w:eastAsiaTheme="minorEastAsia"/>
          <w:color w:val="000000"/>
          <w:sz w:val="24"/>
          <w:szCs w:val="24"/>
        </w:rPr>
        <w:t>号）等文件精神，</w:t>
      </w:r>
      <w:r>
        <w:rPr>
          <w:rFonts w:hAnsiTheme="minorEastAsia" w:eastAsiaTheme="minorEastAsia"/>
          <w:sz w:val="24"/>
          <w:szCs w:val="24"/>
        </w:rPr>
        <w:t>制定本管理办法。</w:t>
      </w:r>
    </w:p>
    <w:p>
      <w:pPr>
        <w:numPr>
          <w:ilvl w:val="0"/>
          <w:numId w:val="1"/>
        </w:numPr>
        <w:tabs>
          <w:tab w:val="left" w:pos="0"/>
          <w:tab w:val="left" w:pos="360"/>
        </w:tabs>
        <w:spacing w:line="360" w:lineRule="auto"/>
        <w:rPr>
          <w:rFonts w:eastAsiaTheme="minorEastAsia"/>
          <w:bCs/>
          <w:sz w:val="24"/>
          <w:szCs w:val="24"/>
        </w:rPr>
      </w:pPr>
      <w:r>
        <w:rPr>
          <w:rFonts w:hAnsiTheme="minorEastAsia" w:eastAsiaTheme="minorEastAsia"/>
          <w:bCs/>
          <w:sz w:val="24"/>
          <w:szCs w:val="24"/>
        </w:rPr>
        <w:t>博士研究生预答辩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r>
        <w:rPr>
          <w:rFonts w:hAnsiTheme="minorEastAsia" w:eastAsiaTheme="minorEastAsia"/>
          <w:sz w:val="24"/>
          <w:szCs w:val="24"/>
        </w:rPr>
        <w:t>（一）预答辩的目的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r>
        <w:rPr>
          <w:rFonts w:hAnsiTheme="minorEastAsia" w:eastAsiaTheme="minorEastAsia"/>
          <w:sz w:val="24"/>
          <w:szCs w:val="24"/>
        </w:rPr>
        <w:t>在博士学位论文定稿、评审和答辩之前，对博士学位论文预先审查，判定其是否达到博士学位论文的基本要求，及时发现存在的问题和不足，以便进一步修改和完善学位论文，从而保证学位论文质量。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r>
        <w:rPr>
          <w:rFonts w:hAnsiTheme="minorEastAsia" w:eastAsiaTheme="minorEastAsia"/>
          <w:sz w:val="24"/>
          <w:szCs w:val="24"/>
        </w:rPr>
        <w:t>（二）预答辩的时间要求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r>
        <w:rPr>
          <w:rFonts w:hAnsiTheme="minorEastAsia" w:eastAsiaTheme="minorEastAsia"/>
          <w:sz w:val="24"/>
          <w:szCs w:val="24"/>
        </w:rPr>
        <w:t>预答辩工作应在博士学位论文送审工作之前完成，并保证学位论文在评审前有足够的修改时间</w:t>
      </w:r>
      <w:r>
        <w:rPr>
          <w:rFonts w:hint="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原则上不少于两个月</w:t>
      </w:r>
      <w:r>
        <w:rPr>
          <w:rFonts w:hAnsiTheme="minorEastAsia" w:eastAsiaTheme="minorEastAsia"/>
          <w:sz w:val="24"/>
          <w:szCs w:val="24"/>
        </w:rPr>
        <w:t>。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r>
        <w:rPr>
          <w:rFonts w:hAnsiTheme="minorEastAsia" w:eastAsiaTheme="minorEastAsia"/>
          <w:sz w:val="24"/>
          <w:szCs w:val="24"/>
        </w:rPr>
        <w:t>（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三</w:t>
      </w:r>
      <w:r>
        <w:rPr>
          <w:rFonts w:hAnsiTheme="minorEastAsia" w:eastAsiaTheme="minorEastAsia"/>
          <w:sz w:val="24"/>
          <w:szCs w:val="24"/>
        </w:rPr>
        <w:t>）预答辩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委员会组成要求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hint="eastAsia" w:hAnsiTheme="minorEastAsia" w:eastAsiaTheme="minorEastAsia"/>
          <w:sz w:val="24"/>
          <w:szCs w:val="24"/>
          <w:lang w:eastAsia="zh-CN"/>
        </w:rPr>
      </w:pPr>
      <w:r>
        <w:rPr>
          <w:rFonts w:hint="eastAsia" w:hAnsiTheme="minorEastAsia" w:eastAsiaTheme="minorEastAsia"/>
          <w:sz w:val="24"/>
          <w:szCs w:val="24"/>
          <w:lang w:val="en-US" w:eastAsia="zh-CN"/>
        </w:rPr>
        <w:t>由</w:t>
      </w:r>
      <w:r>
        <w:rPr>
          <w:rFonts w:hAnsiTheme="minorEastAsia" w:eastAsiaTheme="minorEastAsia"/>
          <w:sz w:val="24"/>
          <w:szCs w:val="24"/>
        </w:rPr>
        <w:t>培养单位或课题组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聘请</w:t>
      </w:r>
      <w:r>
        <w:rPr>
          <w:rFonts w:hAnsiTheme="minorEastAsia" w:eastAsiaTheme="minorEastAsia"/>
          <w:sz w:val="24"/>
          <w:szCs w:val="24"/>
        </w:rPr>
        <w:t>至少</w:t>
      </w:r>
      <w:r>
        <w:rPr>
          <w:rFonts w:eastAsiaTheme="minorEastAsia"/>
          <w:sz w:val="24"/>
          <w:szCs w:val="24"/>
        </w:rPr>
        <w:t>3</w:t>
      </w:r>
      <w:r>
        <w:rPr>
          <w:rFonts w:hAnsiTheme="minorEastAsia" w:eastAsiaTheme="minorEastAsia"/>
          <w:sz w:val="24"/>
          <w:szCs w:val="24"/>
        </w:rPr>
        <w:t>名具有高级职称的专家（副教授应具有博士学位）组成预答辩委员会，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要求</w:t>
      </w:r>
      <w:r>
        <w:rPr>
          <w:rFonts w:hAnsiTheme="minorEastAsia" w:eastAsiaTheme="minorEastAsia"/>
          <w:color w:val="000000"/>
          <w:spacing w:val="8"/>
          <w:sz w:val="24"/>
          <w:szCs w:val="24"/>
        </w:rPr>
        <w:t>博士生导师不少于一半</w:t>
      </w:r>
      <w:r>
        <w:rPr>
          <w:rFonts w:hint="eastAsia" w:hAnsiTheme="minorEastAsia" w:eastAsiaTheme="minorEastAsia"/>
          <w:color w:val="000000"/>
          <w:spacing w:val="8"/>
          <w:sz w:val="24"/>
          <w:szCs w:val="24"/>
          <w:lang w:eastAsia="zh-CN"/>
        </w:rPr>
        <w:t>，</w:t>
      </w:r>
      <w:r>
        <w:rPr>
          <w:rFonts w:hint="eastAsia" w:hAnsiTheme="minorEastAsia" w:eastAsiaTheme="minorEastAsia"/>
          <w:color w:val="000000"/>
          <w:spacing w:val="8"/>
          <w:sz w:val="24"/>
          <w:szCs w:val="24"/>
          <w:lang w:val="en-US" w:eastAsia="zh-CN"/>
        </w:rPr>
        <w:t>答辩主席由具有</w:t>
      </w:r>
      <w:r>
        <w:rPr>
          <w:rFonts w:hAnsiTheme="minorEastAsia" w:eastAsiaTheme="minorEastAsia"/>
          <w:sz w:val="24"/>
          <w:szCs w:val="24"/>
        </w:rPr>
        <w:t>博导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资格的专家担任</w:t>
      </w:r>
      <w:r>
        <w:rPr>
          <w:rFonts w:hAnsiTheme="minorEastAsia" w:eastAsiaTheme="minorEastAsia"/>
          <w:sz w:val="24"/>
          <w:szCs w:val="24"/>
        </w:rPr>
        <w:t>，导师可作为预答辩委员会委员</w:t>
      </w:r>
      <w:r>
        <w:rPr>
          <w:rFonts w:hint="eastAsia" w:hAnsiTheme="minorEastAsia" w:eastAsiaTheme="minorEastAsia"/>
          <w:sz w:val="24"/>
          <w:szCs w:val="24"/>
          <w:lang w:eastAsia="zh-CN"/>
        </w:rPr>
        <w:t>。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r>
        <w:rPr>
          <w:rFonts w:hint="eastAsia" w:hAnsiTheme="minorEastAsia" w:eastAsiaTheme="minorEastAsia"/>
          <w:sz w:val="24"/>
          <w:szCs w:val="24"/>
          <w:lang w:eastAsia="zh-CN"/>
        </w:rPr>
        <w:t>（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四</w:t>
      </w:r>
      <w:r>
        <w:rPr>
          <w:rFonts w:hAnsiTheme="minorEastAsia" w:eastAsiaTheme="minorEastAsia"/>
          <w:sz w:val="24"/>
          <w:szCs w:val="24"/>
        </w:rPr>
        <w:t>）预答辩的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组织与程序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r>
        <w:rPr>
          <w:rFonts w:hAnsiTheme="minorEastAsia" w:eastAsiaTheme="minorEastAsia"/>
          <w:sz w:val="24"/>
          <w:szCs w:val="24"/>
        </w:rPr>
        <w:t>拟毕业的博士研究生需提前两周在</w:t>
      </w:r>
      <w:r>
        <w:rPr>
          <w:rFonts w:eastAsiaTheme="minorEastAsia"/>
          <w:sz w:val="24"/>
          <w:szCs w:val="24"/>
        </w:rPr>
        <w:t>“</w:t>
      </w:r>
      <w:r>
        <w:rPr>
          <w:rFonts w:hAnsiTheme="minorEastAsia" w:eastAsiaTheme="minorEastAsia"/>
          <w:sz w:val="24"/>
          <w:szCs w:val="24"/>
        </w:rPr>
        <w:t>研究生教育综合服务平台</w:t>
      </w:r>
      <w:r>
        <w:rPr>
          <w:rFonts w:eastAsiaTheme="minorEastAsia"/>
          <w:sz w:val="24"/>
          <w:szCs w:val="24"/>
        </w:rPr>
        <w:t>”</w:t>
      </w:r>
      <w:r>
        <w:rPr>
          <w:rFonts w:hAnsiTheme="minorEastAsia" w:eastAsiaTheme="minorEastAsia"/>
          <w:sz w:val="24"/>
          <w:szCs w:val="24"/>
        </w:rPr>
        <w:t>中提交预答辩申请，并按要求录入预答辩时间、地点等相关信息，研究生督导组将随机进行抽查督导。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r>
        <w:rPr>
          <w:rFonts w:hAnsiTheme="minorEastAsia" w:eastAsiaTheme="minorEastAsia"/>
          <w:sz w:val="24"/>
          <w:szCs w:val="24"/>
        </w:rPr>
        <w:t>预答辩委员会对学位论文初稿提出问题，对学位论文的创新性、学术水平、工作量、理论研究和实验研究的立论依据、研究成果、关键性结论等做出评价，并给出具体的修改或完善意见，同时给出预答辩结论。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hint="eastAsia" w:hAnsiTheme="minorEastAsia" w:eastAsiaTheme="minorEastAsia"/>
          <w:sz w:val="24"/>
          <w:szCs w:val="24"/>
          <w:lang w:val="en-US" w:eastAsia="zh-CN"/>
        </w:rPr>
      </w:pPr>
      <w:r>
        <w:rPr>
          <w:rFonts w:hAnsiTheme="minorEastAsia" w:eastAsiaTheme="minorEastAsia"/>
          <w:sz w:val="24"/>
          <w:szCs w:val="24"/>
        </w:rPr>
        <w:t>预答辩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成绩</w:t>
      </w:r>
      <w:r>
        <w:rPr>
          <w:rFonts w:hAnsiTheme="minorEastAsia" w:eastAsiaTheme="minorEastAsia"/>
          <w:sz w:val="24"/>
          <w:szCs w:val="24"/>
        </w:rPr>
        <w:t>为</w:t>
      </w:r>
      <w:r>
        <w:rPr>
          <w:rFonts w:eastAsiaTheme="minorEastAsia"/>
          <w:sz w:val="24"/>
          <w:szCs w:val="24"/>
        </w:rPr>
        <w:t>“</w:t>
      </w:r>
      <w:r>
        <w:rPr>
          <w:rFonts w:hAnsiTheme="minorEastAsia" w:eastAsiaTheme="minorEastAsia"/>
          <w:sz w:val="24"/>
          <w:szCs w:val="24"/>
        </w:rPr>
        <w:t>通过</w:t>
      </w:r>
      <w:r>
        <w:rPr>
          <w:rFonts w:eastAsiaTheme="minorEastAsia"/>
          <w:sz w:val="24"/>
          <w:szCs w:val="24"/>
        </w:rPr>
        <w:t>”</w:t>
      </w:r>
      <w:r>
        <w:rPr>
          <w:rFonts w:hint="eastAsia" w:eastAsiaTheme="minorEastAsia"/>
          <w:sz w:val="24"/>
          <w:szCs w:val="24"/>
          <w:lang w:val="en-US" w:eastAsia="zh-CN"/>
        </w:rPr>
        <w:t>与“未通过”。</w:t>
      </w:r>
      <w:r>
        <w:rPr>
          <w:rFonts w:hAnsiTheme="minorEastAsia" w:eastAsiaTheme="minorEastAsia"/>
          <w:sz w:val="24"/>
          <w:szCs w:val="24"/>
        </w:rPr>
        <w:t>结论为</w:t>
      </w:r>
      <w:r>
        <w:rPr>
          <w:rFonts w:eastAsiaTheme="minorEastAsia"/>
          <w:sz w:val="24"/>
          <w:szCs w:val="24"/>
        </w:rPr>
        <w:t>“</w:t>
      </w:r>
      <w:r>
        <w:rPr>
          <w:rFonts w:hint="eastAsia" w:eastAsiaTheme="minorEastAsia"/>
          <w:sz w:val="24"/>
          <w:szCs w:val="24"/>
          <w:lang w:val="en-US" w:eastAsia="zh-CN"/>
        </w:rPr>
        <w:t>未</w:t>
      </w:r>
      <w:r>
        <w:rPr>
          <w:rFonts w:hAnsiTheme="minorEastAsia" w:eastAsiaTheme="minorEastAsia"/>
          <w:sz w:val="24"/>
          <w:szCs w:val="24"/>
        </w:rPr>
        <w:t>通过</w:t>
      </w:r>
      <w:r>
        <w:rPr>
          <w:rFonts w:eastAsiaTheme="minorEastAsia"/>
          <w:sz w:val="24"/>
          <w:szCs w:val="24"/>
        </w:rPr>
        <w:t>”</w:t>
      </w:r>
      <w:r>
        <w:rPr>
          <w:rFonts w:hint="eastAsia" w:eastAsiaTheme="minorEastAsia"/>
          <w:sz w:val="24"/>
          <w:szCs w:val="24"/>
          <w:lang w:val="en-US" w:eastAsia="zh-CN"/>
        </w:rPr>
        <w:t>时</w:t>
      </w:r>
      <w:r>
        <w:rPr>
          <w:rFonts w:hAnsiTheme="minorEastAsia" w:eastAsiaTheme="minorEastAsia"/>
          <w:sz w:val="24"/>
          <w:szCs w:val="24"/>
        </w:rPr>
        <w:t>根据预答辩委员会意见，全面修改学位论文，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重新进入预答辩程序。</w:t>
      </w:r>
    </w:p>
    <w:p>
      <w:pPr>
        <w:tabs>
          <w:tab w:val="left" w:pos="0"/>
          <w:tab w:val="left" w:pos="360"/>
        </w:tabs>
        <w:spacing w:line="360" w:lineRule="auto"/>
        <w:ind w:firstLine="512" w:firstLineChars="200"/>
        <w:rPr>
          <w:rFonts w:eastAsiaTheme="minorEastAsia"/>
          <w:color w:val="000000"/>
          <w:spacing w:val="8"/>
          <w:sz w:val="24"/>
          <w:szCs w:val="24"/>
        </w:rPr>
      </w:pPr>
      <w:r>
        <w:rPr>
          <w:rFonts w:hint="eastAsia" w:hAnsiTheme="minorEastAsia" w:eastAsiaTheme="minorEastAsia"/>
          <w:color w:val="000000"/>
          <w:spacing w:val="8"/>
          <w:sz w:val="24"/>
          <w:szCs w:val="24"/>
          <w:lang w:val="en-US" w:eastAsia="zh-CN"/>
        </w:rPr>
        <w:t>预答辩结束后</w:t>
      </w:r>
      <w:r>
        <w:rPr>
          <w:rFonts w:hAnsiTheme="minorEastAsia" w:eastAsiaTheme="minorEastAsia"/>
          <w:color w:val="000000"/>
          <w:spacing w:val="8"/>
          <w:sz w:val="24"/>
          <w:szCs w:val="24"/>
        </w:rPr>
        <w:t>，由</w:t>
      </w:r>
      <w:r>
        <w:rPr>
          <w:rFonts w:hint="eastAsia" w:hAnsiTheme="minorEastAsia" w:eastAsiaTheme="minorEastAsia"/>
          <w:color w:val="000000"/>
          <w:spacing w:val="8"/>
          <w:sz w:val="24"/>
          <w:szCs w:val="24"/>
          <w:lang w:val="en-US" w:eastAsia="zh-CN"/>
        </w:rPr>
        <w:t>培养单位</w:t>
      </w:r>
      <w:r>
        <w:rPr>
          <w:rFonts w:hAnsiTheme="minorEastAsia" w:eastAsiaTheme="minorEastAsia"/>
          <w:color w:val="000000"/>
          <w:spacing w:val="8"/>
          <w:sz w:val="24"/>
          <w:szCs w:val="24"/>
        </w:rPr>
        <w:t>在</w:t>
      </w:r>
      <w:r>
        <w:rPr>
          <w:rFonts w:eastAsiaTheme="minorEastAsia"/>
          <w:color w:val="000000"/>
          <w:spacing w:val="8"/>
          <w:sz w:val="24"/>
          <w:szCs w:val="24"/>
        </w:rPr>
        <w:t>“</w:t>
      </w:r>
      <w:r>
        <w:rPr>
          <w:rFonts w:hAnsiTheme="minorEastAsia" w:eastAsiaTheme="minorEastAsia"/>
          <w:color w:val="000000"/>
          <w:spacing w:val="8"/>
          <w:sz w:val="24"/>
          <w:szCs w:val="24"/>
        </w:rPr>
        <w:t>研究生教育综合服务平台</w:t>
      </w:r>
      <w:r>
        <w:rPr>
          <w:rFonts w:eastAsiaTheme="minorEastAsia"/>
          <w:color w:val="000000"/>
          <w:spacing w:val="8"/>
          <w:sz w:val="24"/>
          <w:szCs w:val="24"/>
        </w:rPr>
        <w:t>”</w:t>
      </w:r>
      <w:r>
        <w:rPr>
          <w:rFonts w:hAnsiTheme="minorEastAsia" w:eastAsiaTheme="minorEastAsia"/>
          <w:color w:val="000000"/>
          <w:spacing w:val="8"/>
          <w:sz w:val="24"/>
          <w:szCs w:val="24"/>
        </w:rPr>
        <w:t>中录入预答辩</w:t>
      </w:r>
      <w:r>
        <w:rPr>
          <w:rFonts w:hint="eastAsia" w:hAnsiTheme="minorEastAsia" w:eastAsiaTheme="minorEastAsia"/>
          <w:color w:val="000000"/>
          <w:spacing w:val="8"/>
          <w:sz w:val="24"/>
          <w:szCs w:val="24"/>
          <w:lang w:val="en-US" w:eastAsia="zh-CN"/>
        </w:rPr>
        <w:t>成绩</w:t>
      </w:r>
      <w:r>
        <w:rPr>
          <w:rFonts w:hAnsiTheme="minorEastAsia" w:eastAsiaTheme="minorEastAsia"/>
          <w:color w:val="000000"/>
          <w:spacing w:val="8"/>
          <w:sz w:val="24"/>
          <w:szCs w:val="24"/>
        </w:rPr>
        <w:t>。</w:t>
      </w:r>
    </w:p>
    <w:p>
      <w:pPr>
        <w:tabs>
          <w:tab w:val="left" w:pos="0"/>
          <w:tab w:val="left" w:pos="360"/>
        </w:tabs>
        <w:spacing w:line="360" w:lineRule="auto"/>
        <w:rPr>
          <w:rFonts w:eastAsiaTheme="minorEastAsia"/>
          <w:bCs/>
          <w:color w:val="0000FF"/>
          <w:sz w:val="24"/>
          <w:szCs w:val="24"/>
        </w:rPr>
      </w:pPr>
      <w:r>
        <w:rPr>
          <w:rFonts w:hAnsiTheme="minorEastAsia" w:eastAsiaTheme="minorEastAsia"/>
          <w:bCs/>
          <w:sz w:val="24"/>
          <w:szCs w:val="24"/>
        </w:rPr>
        <w:t>二、硕士、博士研究生答辩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hint="eastAsia" w:hAnsiTheme="minorEastAsia" w:eastAsiaTheme="minorEastAsia"/>
          <w:sz w:val="24"/>
          <w:szCs w:val="24"/>
        </w:rPr>
      </w:pPr>
      <w:r>
        <w:rPr>
          <w:rFonts w:hAnsiTheme="minorEastAsia" w:eastAsiaTheme="minorEastAsia"/>
          <w:sz w:val="24"/>
          <w:szCs w:val="24"/>
        </w:rPr>
        <w:t>（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一</w:t>
      </w:r>
      <w:r>
        <w:rPr>
          <w:rFonts w:hAnsiTheme="minorEastAsia" w:eastAsiaTheme="minorEastAsia"/>
          <w:sz w:val="24"/>
          <w:szCs w:val="24"/>
        </w:rPr>
        <w:t>）</w:t>
      </w:r>
      <w:r>
        <w:rPr>
          <w:rFonts w:hAnsiTheme="minorEastAsia" w:eastAsiaTheme="minorEastAsia"/>
          <w:bCs/>
          <w:sz w:val="24"/>
          <w:szCs w:val="24"/>
        </w:rPr>
        <w:t>博士研究生</w:t>
      </w:r>
      <w:r>
        <w:rPr>
          <w:rFonts w:hAnsiTheme="minorEastAsia" w:eastAsiaTheme="minorEastAsia"/>
          <w:sz w:val="24"/>
          <w:szCs w:val="24"/>
        </w:rPr>
        <w:t>答辩资格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hint="eastAsia" w:hAnsiTheme="minorEastAsia" w:eastAsiaTheme="minor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根据《太原理工大学学位评定委员会2017年第二次会议纪要》第五条规定</w:t>
      </w:r>
      <w:r>
        <w:rPr>
          <w:rFonts w:hint="eastAsia"/>
          <w:color w:val="000000"/>
          <w:sz w:val="24"/>
          <w:szCs w:val="24"/>
          <w:lang w:eastAsia="zh-CN"/>
        </w:rPr>
        <w:t>，</w:t>
      </w:r>
      <w:r>
        <w:rPr>
          <w:color w:val="000000"/>
          <w:sz w:val="24"/>
          <w:szCs w:val="24"/>
        </w:rPr>
        <w:t>对已达到最长修业年限的博士研究生，学位论文评审合格即可申请答辩</w:t>
      </w:r>
      <w:r>
        <w:rPr>
          <w:rFonts w:hint="eastAsia"/>
          <w:color w:val="000000"/>
          <w:sz w:val="24"/>
          <w:szCs w:val="24"/>
          <w:lang w:eastAsia="zh-CN"/>
        </w:rPr>
        <w:t>，</w:t>
      </w:r>
      <w:r>
        <w:rPr>
          <w:color w:val="000000"/>
          <w:sz w:val="24"/>
          <w:szCs w:val="24"/>
        </w:rPr>
        <w:t>未达到最长修业年限的博士研究生，除学位论文评审合格外，科研成果须符合</w:t>
      </w:r>
      <w:r>
        <w:rPr>
          <w:rFonts w:hint="eastAsia"/>
          <w:color w:val="000000"/>
          <w:sz w:val="24"/>
          <w:szCs w:val="24"/>
          <w:lang w:val="en-US" w:eastAsia="zh-CN"/>
        </w:rPr>
        <w:t>学位授予</w:t>
      </w:r>
      <w:r>
        <w:rPr>
          <w:color w:val="000000"/>
          <w:sz w:val="24"/>
          <w:szCs w:val="24"/>
        </w:rPr>
        <w:t>要求后方可申请答辩。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r>
        <w:rPr>
          <w:rFonts w:hAnsiTheme="minorEastAsia" w:eastAsiaTheme="minorEastAsia"/>
          <w:sz w:val="24"/>
          <w:szCs w:val="24"/>
        </w:rPr>
        <w:t>（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二</w:t>
      </w:r>
      <w:r>
        <w:rPr>
          <w:rFonts w:hAnsiTheme="minorEastAsia" w:eastAsiaTheme="minorEastAsia"/>
          <w:sz w:val="24"/>
          <w:szCs w:val="24"/>
        </w:rPr>
        <w:t>）答辩委员会组成要求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博士研究生答辩委员会由5名教授或相当专业技术职称的专家组成，另</w:t>
      </w:r>
      <w:r>
        <w:rPr>
          <w:rFonts w:hint="eastAsia"/>
          <w:sz w:val="24"/>
          <w:szCs w:val="24"/>
          <w:lang w:val="en-US" w:eastAsia="zh-CN"/>
        </w:rPr>
        <w:t>设</w:t>
      </w:r>
      <w:r>
        <w:rPr>
          <w:sz w:val="24"/>
          <w:szCs w:val="24"/>
        </w:rPr>
        <w:t>答辩秘书1人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sz w:val="24"/>
          <w:szCs w:val="24"/>
        </w:rPr>
        <w:t>要求5名答辩委员均为博士生导师，至少聘请1名校外同行专家，答辩委员会主席由校外</w:t>
      </w:r>
      <w:r>
        <w:rPr>
          <w:rFonts w:hint="eastAsia"/>
          <w:sz w:val="24"/>
          <w:szCs w:val="24"/>
          <w:lang w:val="en-US" w:eastAsia="zh-CN"/>
        </w:rPr>
        <w:t>同行</w:t>
      </w:r>
      <w:r>
        <w:rPr>
          <w:sz w:val="24"/>
          <w:szCs w:val="24"/>
        </w:rPr>
        <w:t>专家担任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导师不得作为答辩委员会成员。答辩秘书由相同或相近专业教师担任，要求为讲师及以上职称。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硕士研究生答辩委员会由3名副教授或相当专业技术职称及以上的专家组成，另</w:t>
      </w:r>
      <w:r>
        <w:rPr>
          <w:rFonts w:hint="eastAsia"/>
          <w:sz w:val="24"/>
          <w:szCs w:val="24"/>
          <w:lang w:val="en-US" w:eastAsia="zh-CN"/>
        </w:rPr>
        <w:t>设</w:t>
      </w:r>
      <w:r>
        <w:rPr>
          <w:sz w:val="24"/>
          <w:szCs w:val="24"/>
        </w:rPr>
        <w:t>答辩秘书1人。</w:t>
      </w:r>
      <w:r>
        <w:rPr>
          <w:rFonts w:hint="eastAsia"/>
          <w:sz w:val="24"/>
          <w:szCs w:val="24"/>
          <w:lang w:val="en-US" w:eastAsia="zh-CN"/>
        </w:rPr>
        <w:t>要求</w:t>
      </w:r>
      <w:r>
        <w:rPr>
          <w:sz w:val="24"/>
          <w:szCs w:val="24"/>
        </w:rPr>
        <w:t>答辩委员会主席应由教授或相当</w:t>
      </w:r>
      <w:r>
        <w:rPr>
          <w:rFonts w:hint="eastAsia"/>
          <w:sz w:val="24"/>
          <w:szCs w:val="24"/>
          <w:lang w:val="en-US" w:eastAsia="zh-CN"/>
        </w:rPr>
        <w:t>专业技术</w:t>
      </w:r>
      <w:r>
        <w:rPr>
          <w:sz w:val="24"/>
          <w:szCs w:val="24"/>
        </w:rPr>
        <w:t>职称专家担任，导师不得作为答辩委员会成员。答辩秘书应由相同或相近专业教师担任。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r>
        <w:rPr>
          <w:rFonts w:hint="eastAsia" w:hAnsiTheme="minorEastAsia" w:eastAsiaTheme="minorEastAsia"/>
          <w:sz w:val="24"/>
          <w:szCs w:val="24"/>
          <w:lang w:eastAsia="zh-CN"/>
        </w:rPr>
        <w:t>（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三</w:t>
      </w:r>
      <w:r>
        <w:rPr>
          <w:rFonts w:hAnsiTheme="minorEastAsia" w:eastAsiaTheme="minorEastAsia"/>
          <w:sz w:val="24"/>
          <w:szCs w:val="24"/>
        </w:rPr>
        <w:t>）答辩的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组织与程序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r>
        <w:rPr>
          <w:rFonts w:hAnsiTheme="minorEastAsia" w:eastAsiaTheme="minorEastAsia"/>
          <w:sz w:val="24"/>
          <w:szCs w:val="24"/>
        </w:rPr>
        <w:t>研究生须于答辩前</w:t>
      </w:r>
      <w:r>
        <w:rPr>
          <w:rFonts w:eastAsiaTheme="minorEastAsia"/>
          <w:sz w:val="24"/>
          <w:szCs w:val="24"/>
        </w:rPr>
        <w:t>5</w:t>
      </w:r>
      <w:r>
        <w:rPr>
          <w:rFonts w:hAnsiTheme="minorEastAsia" w:eastAsiaTheme="minorEastAsia"/>
          <w:sz w:val="24"/>
          <w:szCs w:val="24"/>
        </w:rPr>
        <w:t>个工作日在</w:t>
      </w:r>
      <w:r>
        <w:rPr>
          <w:rFonts w:eastAsiaTheme="minorEastAsia"/>
          <w:sz w:val="24"/>
          <w:szCs w:val="24"/>
        </w:rPr>
        <w:t>“</w:t>
      </w:r>
      <w:r>
        <w:rPr>
          <w:rFonts w:hAnsiTheme="minorEastAsia" w:eastAsiaTheme="minorEastAsia"/>
          <w:sz w:val="24"/>
          <w:szCs w:val="24"/>
        </w:rPr>
        <w:t>研究生教育综合服务平台</w:t>
      </w:r>
      <w:r>
        <w:rPr>
          <w:rFonts w:eastAsiaTheme="minorEastAsia"/>
          <w:sz w:val="24"/>
          <w:szCs w:val="24"/>
        </w:rPr>
        <w:t>”</w:t>
      </w:r>
      <w:r>
        <w:rPr>
          <w:rFonts w:hAnsiTheme="minorEastAsia" w:eastAsiaTheme="minorEastAsia"/>
          <w:sz w:val="24"/>
          <w:szCs w:val="24"/>
        </w:rPr>
        <w:t>中提交答辩申请。答辩前一天，研究生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要</w:t>
      </w:r>
      <w:r>
        <w:rPr>
          <w:rFonts w:hAnsiTheme="minorEastAsia" w:eastAsiaTheme="minorEastAsia"/>
          <w:sz w:val="24"/>
          <w:szCs w:val="24"/>
        </w:rPr>
        <w:t>在校内主要公告栏张贴</w:t>
      </w:r>
      <w:r>
        <w:rPr>
          <w:rFonts w:eastAsiaTheme="minorEastAsia"/>
          <w:sz w:val="24"/>
          <w:szCs w:val="24"/>
        </w:rPr>
        <w:t>“</w:t>
      </w:r>
      <w:r>
        <w:rPr>
          <w:rFonts w:hAnsiTheme="minorEastAsia" w:eastAsiaTheme="minorEastAsia"/>
          <w:sz w:val="24"/>
          <w:szCs w:val="24"/>
        </w:rPr>
        <w:t>硕士</w:t>
      </w:r>
      <w:r>
        <w:rPr>
          <w:rFonts w:eastAsiaTheme="minorEastAsia"/>
          <w:sz w:val="24"/>
          <w:szCs w:val="24"/>
        </w:rPr>
        <w:t>/</w:t>
      </w:r>
      <w:r>
        <w:rPr>
          <w:rFonts w:hAnsiTheme="minorEastAsia" w:eastAsiaTheme="minorEastAsia"/>
          <w:sz w:val="24"/>
          <w:szCs w:val="24"/>
        </w:rPr>
        <w:t>博士学位论文答辩</w:t>
      </w:r>
      <w:r>
        <w:rPr>
          <w:rFonts w:eastAsiaTheme="minorEastAsia"/>
          <w:sz w:val="24"/>
          <w:szCs w:val="24"/>
        </w:rPr>
        <w:t>”</w:t>
      </w:r>
      <w:r>
        <w:rPr>
          <w:rFonts w:hAnsiTheme="minorEastAsia" w:eastAsiaTheme="minorEastAsia"/>
          <w:sz w:val="24"/>
          <w:szCs w:val="24"/>
        </w:rPr>
        <w:t>公告。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hAnsiTheme="minorEastAsia" w:eastAsiaTheme="minorEastAsia"/>
          <w:sz w:val="24"/>
          <w:szCs w:val="24"/>
        </w:rPr>
      </w:pPr>
      <w:r>
        <w:rPr>
          <w:rFonts w:hAnsiTheme="minorEastAsia" w:eastAsiaTheme="minorEastAsia"/>
          <w:sz w:val="24"/>
          <w:szCs w:val="24"/>
        </w:rPr>
        <w:t>答辩会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由</w:t>
      </w:r>
      <w:r>
        <w:rPr>
          <w:rFonts w:hAnsiTheme="minorEastAsia" w:eastAsiaTheme="minorEastAsia"/>
          <w:sz w:val="24"/>
          <w:szCs w:val="24"/>
        </w:rPr>
        <w:t>答辩委员会主席主持，答辩人宣读《论文原创性声明》并报告学位论文的主要内容</w:t>
      </w:r>
      <w:r>
        <w:rPr>
          <w:rFonts w:hint="eastAsia" w:hAnsiTheme="minorEastAsia" w:eastAsiaTheme="minorEastAsia"/>
          <w:sz w:val="24"/>
          <w:szCs w:val="24"/>
          <w:lang w:eastAsia="zh-CN"/>
        </w:rPr>
        <w:t>，</w:t>
      </w:r>
      <w:r>
        <w:rPr>
          <w:rFonts w:hAnsiTheme="minorEastAsia" w:eastAsiaTheme="minorEastAsia"/>
          <w:sz w:val="24"/>
          <w:szCs w:val="24"/>
        </w:rPr>
        <w:t>答辩委员及其他人员针对研究生学位论文的报告内容进行提问，答辩人回答问题。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hAnsiTheme="minorEastAsia" w:eastAsiaTheme="minorEastAsia"/>
          <w:sz w:val="24"/>
          <w:szCs w:val="24"/>
        </w:rPr>
      </w:pPr>
      <w:r>
        <w:rPr>
          <w:rFonts w:hAnsiTheme="minorEastAsia" w:eastAsiaTheme="minorEastAsia"/>
          <w:sz w:val="24"/>
          <w:szCs w:val="24"/>
        </w:rPr>
        <w:t>答辩委员逐个评议学位论文水平及答辩情况</w:t>
      </w:r>
      <w:r>
        <w:rPr>
          <w:rFonts w:hint="eastAsia" w:hAnsiTheme="minorEastAsia" w:eastAsiaTheme="minorEastAsia"/>
          <w:sz w:val="24"/>
          <w:szCs w:val="24"/>
          <w:lang w:eastAsia="zh-CN"/>
        </w:rPr>
        <w:t>，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在充分讨论的基础上形成答辩决议，并</w:t>
      </w:r>
      <w:r>
        <w:rPr>
          <w:rFonts w:hAnsiTheme="minorEastAsia" w:eastAsiaTheme="minorEastAsia"/>
          <w:sz w:val="24"/>
          <w:szCs w:val="24"/>
        </w:rPr>
        <w:t>以无记名投票方式进行表决（未出席的委员不得委托他人投票或通讯投票）</w:t>
      </w:r>
      <w:r>
        <w:rPr>
          <w:rFonts w:hint="eastAsia" w:hAnsiTheme="minorEastAsia" w:eastAsiaTheme="minorEastAsia"/>
          <w:sz w:val="24"/>
          <w:szCs w:val="24"/>
          <w:lang w:eastAsia="zh-CN"/>
        </w:rPr>
        <w:t>，</w:t>
      </w:r>
      <w:r>
        <w:rPr>
          <w:rFonts w:hAnsiTheme="minorEastAsia" w:eastAsiaTheme="minorEastAsia"/>
          <w:sz w:val="24"/>
          <w:szCs w:val="24"/>
        </w:rPr>
        <w:t>由答辩主席宣读答辩委员会决议。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r>
        <w:rPr>
          <w:rFonts w:hAnsiTheme="minorEastAsia" w:eastAsiaTheme="minorEastAsia"/>
          <w:sz w:val="24"/>
          <w:szCs w:val="24"/>
        </w:rPr>
        <w:t>为了保障答辩的规范性和严肃性，研究生督导组将对答辩现场进行抽查监督。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r>
        <w:rPr>
          <w:rFonts w:hint="eastAsia" w:hAnsiTheme="minorEastAsia" w:eastAsiaTheme="minorEastAsia"/>
          <w:sz w:val="24"/>
          <w:szCs w:val="24"/>
          <w:lang w:eastAsia="zh-CN"/>
        </w:rPr>
        <w:t>（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四</w:t>
      </w:r>
      <w:r>
        <w:rPr>
          <w:rFonts w:hAnsiTheme="minorEastAsia" w:eastAsiaTheme="minorEastAsia"/>
          <w:sz w:val="24"/>
          <w:szCs w:val="24"/>
        </w:rPr>
        <w:t>）答辩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成绩与录入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r>
        <w:rPr>
          <w:rFonts w:hAnsiTheme="minorEastAsia" w:eastAsiaTheme="minorEastAsia"/>
          <w:sz w:val="24"/>
          <w:szCs w:val="24"/>
        </w:rPr>
        <w:t>答辩</w:t>
      </w:r>
      <w:r>
        <w:rPr>
          <w:rFonts w:hint="eastAsia" w:hAnsiTheme="minorEastAsia" w:eastAsiaTheme="minorEastAsia"/>
          <w:sz w:val="24"/>
          <w:szCs w:val="24"/>
          <w:lang w:val="en-US" w:eastAsia="zh-CN"/>
        </w:rPr>
        <w:t>成绩</w:t>
      </w:r>
      <w:r>
        <w:rPr>
          <w:rFonts w:hAnsiTheme="minorEastAsia" w:eastAsiaTheme="minorEastAsia"/>
          <w:sz w:val="24"/>
          <w:szCs w:val="24"/>
        </w:rPr>
        <w:t>为</w:t>
      </w:r>
      <w:r>
        <w:rPr>
          <w:rFonts w:eastAsiaTheme="minorEastAsia"/>
          <w:sz w:val="24"/>
          <w:szCs w:val="24"/>
        </w:rPr>
        <w:t>“</w:t>
      </w:r>
      <w:r>
        <w:rPr>
          <w:rFonts w:hAnsiTheme="minorEastAsia" w:eastAsiaTheme="minorEastAsia"/>
          <w:sz w:val="24"/>
          <w:szCs w:val="24"/>
        </w:rPr>
        <w:t>通过</w:t>
      </w:r>
      <w:r>
        <w:rPr>
          <w:rFonts w:eastAsiaTheme="minorEastAsia"/>
          <w:sz w:val="24"/>
          <w:szCs w:val="24"/>
        </w:rPr>
        <w:t>”</w:t>
      </w:r>
      <w:r>
        <w:rPr>
          <w:rFonts w:hint="eastAsia" w:eastAsiaTheme="minorEastAsia"/>
          <w:sz w:val="24"/>
          <w:szCs w:val="24"/>
          <w:lang w:val="en-US" w:eastAsia="zh-CN"/>
        </w:rPr>
        <w:t>与“未通过”。</w:t>
      </w:r>
      <w:r>
        <w:rPr>
          <w:rFonts w:hAnsiTheme="minorEastAsia" w:eastAsiaTheme="minorEastAsia"/>
          <w:sz w:val="24"/>
          <w:szCs w:val="24"/>
        </w:rPr>
        <w:t>学位论文答辩</w:t>
      </w:r>
      <w:r>
        <w:rPr>
          <w:rFonts w:eastAsiaTheme="minorEastAsia"/>
          <w:sz w:val="24"/>
          <w:szCs w:val="24"/>
        </w:rPr>
        <w:t>“</w:t>
      </w:r>
      <w:r>
        <w:rPr>
          <w:rFonts w:hAnsiTheme="minorEastAsia" w:eastAsiaTheme="minorEastAsia"/>
          <w:sz w:val="24"/>
          <w:szCs w:val="24"/>
        </w:rPr>
        <w:t>未通过</w:t>
      </w:r>
      <w:r>
        <w:rPr>
          <w:rFonts w:eastAsiaTheme="minorEastAsia"/>
          <w:sz w:val="24"/>
          <w:szCs w:val="24"/>
        </w:rPr>
        <w:t>”</w:t>
      </w:r>
      <w:r>
        <w:rPr>
          <w:rFonts w:hAnsiTheme="minorEastAsia" w:eastAsiaTheme="minorEastAsia"/>
          <w:sz w:val="24"/>
          <w:szCs w:val="24"/>
        </w:rPr>
        <w:t>的研究生，根据《太原理工大学硕士、博士学位授予工作实施细则》第三章第九条规定</w:t>
      </w:r>
      <w:r>
        <w:rPr>
          <w:rFonts w:eastAsiaTheme="minorEastAsia"/>
          <w:sz w:val="24"/>
          <w:szCs w:val="24"/>
        </w:rPr>
        <w:t>“</w:t>
      </w:r>
      <w:r>
        <w:rPr>
          <w:rFonts w:hAnsiTheme="minorEastAsia" w:eastAsiaTheme="minorEastAsia"/>
          <w:sz w:val="24"/>
          <w:szCs w:val="24"/>
        </w:rPr>
        <w:t>学位论文答辩未通过的，经答辩委员会半数以上同意修改论文，可在规定的时间内完成论文修改工作，重新答辩一次。最后答辩时间不得超过最长修业年限</w:t>
      </w:r>
      <w:r>
        <w:rPr>
          <w:rFonts w:eastAsiaTheme="minorEastAsia"/>
          <w:sz w:val="24"/>
          <w:szCs w:val="24"/>
        </w:rPr>
        <w:t>”</w:t>
      </w:r>
      <w:r>
        <w:rPr>
          <w:rFonts w:hAnsiTheme="minorEastAsia" w:eastAsiaTheme="minorEastAsia"/>
          <w:sz w:val="24"/>
          <w:szCs w:val="24"/>
        </w:rPr>
        <w:t>。</w:t>
      </w:r>
    </w:p>
    <w:p>
      <w:pPr>
        <w:tabs>
          <w:tab w:val="left" w:pos="0"/>
          <w:tab w:val="left" w:pos="360"/>
        </w:tabs>
        <w:spacing w:line="360" w:lineRule="auto"/>
        <w:ind w:firstLine="512" w:firstLineChars="200"/>
        <w:rPr>
          <w:rFonts w:eastAsiaTheme="minorEastAsia"/>
          <w:color w:val="000000"/>
          <w:spacing w:val="8"/>
          <w:sz w:val="24"/>
          <w:szCs w:val="24"/>
        </w:rPr>
      </w:pPr>
      <w:r>
        <w:rPr>
          <w:rFonts w:hint="eastAsia" w:hAnsiTheme="minorEastAsia" w:eastAsiaTheme="minorEastAsia"/>
          <w:color w:val="000000"/>
          <w:spacing w:val="8"/>
          <w:sz w:val="24"/>
          <w:szCs w:val="24"/>
          <w:lang w:val="en-US" w:eastAsia="zh-CN"/>
        </w:rPr>
        <w:t>答辩结束后一周内</w:t>
      </w:r>
      <w:r>
        <w:rPr>
          <w:rFonts w:hAnsiTheme="minorEastAsia" w:eastAsiaTheme="minorEastAsia"/>
          <w:color w:val="000000"/>
          <w:spacing w:val="8"/>
          <w:sz w:val="24"/>
          <w:szCs w:val="24"/>
        </w:rPr>
        <w:t>，由</w:t>
      </w:r>
      <w:r>
        <w:rPr>
          <w:rFonts w:hint="eastAsia" w:hAnsiTheme="minorEastAsia" w:eastAsiaTheme="minorEastAsia"/>
          <w:color w:val="000000"/>
          <w:spacing w:val="8"/>
          <w:sz w:val="24"/>
          <w:szCs w:val="24"/>
          <w:lang w:val="en-US" w:eastAsia="zh-CN"/>
        </w:rPr>
        <w:t>培养单位</w:t>
      </w:r>
      <w:r>
        <w:rPr>
          <w:rFonts w:hAnsiTheme="minorEastAsia" w:eastAsiaTheme="minorEastAsia"/>
          <w:color w:val="000000"/>
          <w:spacing w:val="8"/>
          <w:sz w:val="24"/>
          <w:szCs w:val="24"/>
        </w:rPr>
        <w:t>在</w:t>
      </w:r>
      <w:r>
        <w:rPr>
          <w:rFonts w:eastAsiaTheme="minorEastAsia"/>
          <w:color w:val="000000"/>
          <w:spacing w:val="8"/>
          <w:sz w:val="24"/>
          <w:szCs w:val="24"/>
        </w:rPr>
        <w:t>“</w:t>
      </w:r>
      <w:r>
        <w:rPr>
          <w:rFonts w:hAnsiTheme="minorEastAsia" w:eastAsiaTheme="minorEastAsia"/>
          <w:color w:val="000000"/>
          <w:spacing w:val="8"/>
          <w:sz w:val="24"/>
          <w:szCs w:val="24"/>
        </w:rPr>
        <w:t>研究生教育综合服务平台</w:t>
      </w:r>
      <w:r>
        <w:rPr>
          <w:rFonts w:eastAsiaTheme="minorEastAsia"/>
          <w:color w:val="000000"/>
          <w:spacing w:val="8"/>
          <w:sz w:val="24"/>
          <w:szCs w:val="24"/>
        </w:rPr>
        <w:t>”</w:t>
      </w:r>
      <w:r>
        <w:rPr>
          <w:rFonts w:hAnsiTheme="minorEastAsia" w:eastAsiaTheme="minorEastAsia"/>
          <w:color w:val="000000"/>
          <w:spacing w:val="8"/>
          <w:sz w:val="24"/>
          <w:szCs w:val="24"/>
        </w:rPr>
        <w:t>中录入答辩</w:t>
      </w:r>
      <w:r>
        <w:rPr>
          <w:rFonts w:hint="eastAsia" w:hAnsiTheme="minorEastAsia" w:eastAsiaTheme="minorEastAsia"/>
          <w:color w:val="000000"/>
          <w:spacing w:val="8"/>
          <w:sz w:val="24"/>
          <w:szCs w:val="24"/>
          <w:lang w:val="en-US" w:eastAsia="zh-CN"/>
        </w:rPr>
        <w:t>成绩</w:t>
      </w:r>
      <w:r>
        <w:rPr>
          <w:rFonts w:hAnsiTheme="minorEastAsia" w:eastAsiaTheme="minorEastAsia"/>
          <w:color w:val="000000"/>
          <w:spacing w:val="8"/>
          <w:sz w:val="24"/>
          <w:szCs w:val="24"/>
        </w:rPr>
        <w:t>。</w:t>
      </w:r>
    </w:p>
    <w:p>
      <w:pPr>
        <w:tabs>
          <w:tab w:val="left" w:pos="0"/>
          <w:tab w:val="left" w:pos="360"/>
        </w:tabs>
        <w:spacing w:line="360" w:lineRule="auto"/>
        <w:rPr>
          <w:rFonts w:eastAsiaTheme="minorEastAsia"/>
          <w:b/>
          <w:sz w:val="24"/>
          <w:szCs w:val="24"/>
        </w:rPr>
      </w:pPr>
      <w:bookmarkStart w:id="1" w:name="_GoBack"/>
      <w:bookmarkEnd w:id="1"/>
      <w:r>
        <w:rPr>
          <w:rFonts w:hAnsiTheme="minorEastAsia" w:eastAsiaTheme="minorEastAsia"/>
          <w:b/>
          <w:sz w:val="24"/>
          <w:szCs w:val="24"/>
        </w:rPr>
        <w:t>三、其它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r>
        <w:rPr>
          <w:rFonts w:hAnsiTheme="minorEastAsia" w:eastAsiaTheme="minorEastAsia"/>
          <w:sz w:val="24"/>
          <w:szCs w:val="24"/>
        </w:rPr>
        <w:t>（一）本次答辩通过，但不毕业的研究生，再次申请毕业时需重新办理学位论文评审、答辩</w:t>
      </w:r>
    </w:p>
    <w:p>
      <w:pPr>
        <w:tabs>
          <w:tab w:val="left" w:pos="0"/>
          <w:tab w:val="left" w:pos="360"/>
        </w:tabs>
        <w:spacing w:line="360" w:lineRule="auto"/>
        <w:ind w:firstLine="480" w:firstLineChars="200"/>
        <w:rPr>
          <w:rFonts w:eastAsiaTheme="minorEastAsia"/>
          <w:sz w:val="24"/>
          <w:szCs w:val="24"/>
        </w:rPr>
      </w:pPr>
      <w:bookmarkStart w:id="0" w:name="OLE_LINK2"/>
      <w:r>
        <w:rPr>
          <w:rFonts w:hAnsiTheme="minorEastAsia" w:eastAsiaTheme="minorEastAsia"/>
          <w:sz w:val="24"/>
          <w:szCs w:val="24"/>
        </w:rPr>
        <w:t>（二）本管理办法自公布之日起开始施行。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Times New Roman"/>
    <w:panose1 w:val="00000000000000000000"/>
    <w:charset w:val="5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4DBE"/>
    <w:multiLevelType w:val="multilevel"/>
    <w:tmpl w:val="503C4DBE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7B2"/>
    <w:rsid w:val="000001C7"/>
    <w:rsid w:val="0000403F"/>
    <w:rsid w:val="00005B7A"/>
    <w:rsid w:val="00010370"/>
    <w:rsid w:val="000225FF"/>
    <w:rsid w:val="000269B7"/>
    <w:rsid w:val="00026F00"/>
    <w:rsid w:val="00030D4B"/>
    <w:rsid w:val="0003675C"/>
    <w:rsid w:val="00036920"/>
    <w:rsid w:val="000413B4"/>
    <w:rsid w:val="00042EA1"/>
    <w:rsid w:val="00044CE0"/>
    <w:rsid w:val="00046651"/>
    <w:rsid w:val="00050826"/>
    <w:rsid w:val="000548B9"/>
    <w:rsid w:val="0005537C"/>
    <w:rsid w:val="0005563E"/>
    <w:rsid w:val="000627B7"/>
    <w:rsid w:val="00067EAD"/>
    <w:rsid w:val="0007097D"/>
    <w:rsid w:val="00072FF4"/>
    <w:rsid w:val="00075984"/>
    <w:rsid w:val="000801BC"/>
    <w:rsid w:val="0008170F"/>
    <w:rsid w:val="000902CB"/>
    <w:rsid w:val="00091D1F"/>
    <w:rsid w:val="0009694E"/>
    <w:rsid w:val="000C37B5"/>
    <w:rsid w:val="000D1400"/>
    <w:rsid w:val="000D1673"/>
    <w:rsid w:val="000D522A"/>
    <w:rsid w:val="000D5880"/>
    <w:rsid w:val="000E0423"/>
    <w:rsid w:val="000F1B4E"/>
    <w:rsid w:val="000F54C6"/>
    <w:rsid w:val="000F6EC9"/>
    <w:rsid w:val="00105890"/>
    <w:rsid w:val="00107E38"/>
    <w:rsid w:val="00113569"/>
    <w:rsid w:val="00113B23"/>
    <w:rsid w:val="001168AA"/>
    <w:rsid w:val="001204B9"/>
    <w:rsid w:val="001216A1"/>
    <w:rsid w:val="00121FAA"/>
    <w:rsid w:val="00126FBD"/>
    <w:rsid w:val="00132A5F"/>
    <w:rsid w:val="00132DE6"/>
    <w:rsid w:val="00133EEE"/>
    <w:rsid w:val="00135E89"/>
    <w:rsid w:val="00141E34"/>
    <w:rsid w:val="001448B5"/>
    <w:rsid w:val="001501D8"/>
    <w:rsid w:val="00150564"/>
    <w:rsid w:val="001624EC"/>
    <w:rsid w:val="00176544"/>
    <w:rsid w:val="00177297"/>
    <w:rsid w:val="00183913"/>
    <w:rsid w:val="001839DF"/>
    <w:rsid w:val="0018464C"/>
    <w:rsid w:val="00191527"/>
    <w:rsid w:val="00194237"/>
    <w:rsid w:val="00196843"/>
    <w:rsid w:val="001A640E"/>
    <w:rsid w:val="001A7167"/>
    <w:rsid w:val="001B6312"/>
    <w:rsid w:val="001B7E09"/>
    <w:rsid w:val="001C2010"/>
    <w:rsid w:val="001C322E"/>
    <w:rsid w:val="001C7BFF"/>
    <w:rsid w:val="001D03D9"/>
    <w:rsid w:val="001D45A3"/>
    <w:rsid w:val="001D7D03"/>
    <w:rsid w:val="001E4612"/>
    <w:rsid w:val="001E6B80"/>
    <w:rsid w:val="001F4869"/>
    <w:rsid w:val="00202906"/>
    <w:rsid w:val="0020460B"/>
    <w:rsid w:val="00204C14"/>
    <w:rsid w:val="00210655"/>
    <w:rsid w:val="00212013"/>
    <w:rsid w:val="00222B20"/>
    <w:rsid w:val="0022575D"/>
    <w:rsid w:val="00232226"/>
    <w:rsid w:val="00244557"/>
    <w:rsid w:val="00247E33"/>
    <w:rsid w:val="00251202"/>
    <w:rsid w:val="0026444E"/>
    <w:rsid w:val="00276030"/>
    <w:rsid w:val="00286CA7"/>
    <w:rsid w:val="00287051"/>
    <w:rsid w:val="0029023C"/>
    <w:rsid w:val="00290370"/>
    <w:rsid w:val="00291527"/>
    <w:rsid w:val="00291C12"/>
    <w:rsid w:val="00294806"/>
    <w:rsid w:val="00295D76"/>
    <w:rsid w:val="00297807"/>
    <w:rsid w:val="002A2803"/>
    <w:rsid w:val="002A368C"/>
    <w:rsid w:val="002A7935"/>
    <w:rsid w:val="002B0616"/>
    <w:rsid w:val="002B46CF"/>
    <w:rsid w:val="002D0383"/>
    <w:rsid w:val="002D5325"/>
    <w:rsid w:val="002D6C27"/>
    <w:rsid w:val="002E097A"/>
    <w:rsid w:val="002E60E2"/>
    <w:rsid w:val="00303697"/>
    <w:rsid w:val="00305A35"/>
    <w:rsid w:val="00316FA0"/>
    <w:rsid w:val="00326509"/>
    <w:rsid w:val="00327819"/>
    <w:rsid w:val="00340D26"/>
    <w:rsid w:val="0034337A"/>
    <w:rsid w:val="003475C9"/>
    <w:rsid w:val="00351847"/>
    <w:rsid w:val="0035215F"/>
    <w:rsid w:val="003538D0"/>
    <w:rsid w:val="00360D69"/>
    <w:rsid w:val="003624B7"/>
    <w:rsid w:val="00362D38"/>
    <w:rsid w:val="00364A58"/>
    <w:rsid w:val="00372EE4"/>
    <w:rsid w:val="00373A34"/>
    <w:rsid w:val="00374FC6"/>
    <w:rsid w:val="00381460"/>
    <w:rsid w:val="003816A4"/>
    <w:rsid w:val="00381956"/>
    <w:rsid w:val="00381F76"/>
    <w:rsid w:val="003837BA"/>
    <w:rsid w:val="0039427E"/>
    <w:rsid w:val="003A0B9A"/>
    <w:rsid w:val="003A7953"/>
    <w:rsid w:val="003A7B9A"/>
    <w:rsid w:val="003B1562"/>
    <w:rsid w:val="003B400F"/>
    <w:rsid w:val="003B529B"/>
    <w:rsid w:val="003B54C2"/>
    <w:rsid w:val="003B5FA4"/>
    <w:rsid w:val="003B7CB2"/>
    <w:rsid w:val="003C3D22"/>
    <w:rsid w:val="003C742E"/>
    <w:rsid w:val="003D6CAE"/>
    <w:rsid w:val="003E7530"/>
    <w:rsid w:val="003E7546"/>
    <w:rsid w:val="003E789B"/>
    <w:rsid w:val="003F2CDF"/>
    <w:rsid w:val="003F5960"/>
    <w:rsid w:val="0040015B"/>
    <w:rsid w:val="00400486"/>
    <w:rsid w:val="00401C44"/>
    <w:rsid w:val="00401DFC"/>
    <w:rsid w:val="00403D65"/>
    <w:rsid w:val="00412DC8"/>
    <w:rsid w:val="00415853"/>
    <w:rsid w:val="00420C3C"/>
    <w:rsid w:val="00423552"/>
    <w:rsid w:val="004242A1"/>
    <w:rsid w:val="00436A83"/>
    <w:rsid w:val="00437847"/>
    <w:rsid w:val="00442C68"/>
    <w:rsid w:val="00443160"/>
    <w:rsid w:val="004435D3"/>
    <w:rsid w:val="00443B10"/>
    <w:rsid w:val="00452A8E"/>
    <w:rsid w:val="00464AB1"/>
    <w:rsid w:val="00465E50"/>
    <w:rsid w:val="00470238"/>
    <w:rsid w:val="004712C0"/>
    <w:rsid w:val="0047268B"/>
    <w:rsid w:val="00474FEF"/>
    <w:rsid w:val="004755BF"/>
    <w:rsid w:val="00486BDA"/>
    <w:rsid w:val="00487C6E"/>
    <w:rsid w:val="004915FB"/>
    <w:rsid w:val="004949E1"/>
    <w:rsid w:val="004A3E12"/>
    <w:rsid w:val="004A61C0"/>
    <w:rsid w:val="004A7FF8"/>
    <w:rsid w:val="004B42A8"/>
    <w:rsid w:val="004C2E6D"/>
    <w:rsid w:val="004C62DF"/>
    <w:rsid w:val="004D40E3"/>
    <w:rsid w:val="004E0790"/>
    <w:rsid w:val="004E454B"/>
    <w:rsid w:val="004E7B96"/>
    <w:rsid w:val="004F524D"/>
    <w:rsid w:val="004F52B6"/>
    <w:rsid w:val="004F5492"/>
    <w:rsid w:val="004F5EDB"/>
    <w:rsid w:val="004F7303"/>
    <w:rsid w:val="00501731"/>
    <w:rsid w:val="005032A1"/>
    <w:rsid w:val="0051577D"/>
    <w:rsid w:val="00522137"/>
    <w:rsid w:val="00522379"/>
    <w:rsid w:val="00522AF7"/>
    <w:rsid w:val="00530416"/>
    <w:rsid w:val="00535478"/>
    <w:rsid w:val="005358CA"/>
    <w:rsid w:val="00545D6C"/>
    <w:rsid w:val="00550B95"/>
    <w:rsid w:val="005513AD"/>
    <w:rsid w:val="00554054"/>
    <w:rsid w:val="0055578B"/>
    <w:rsid w:val="005572B8"/>
    <w:rsid w:val="00557DD6"/>
    <w:rsid w:val="00557E5C"/>
    <w:rsid w:val="00570967"/>
    <w:rsid w:val="00582E3E"/>
    <w:rsid w:val="00586BB0"/>
    <w:rsid w:val="005903D4"/>
    <w:rsid w:val="00593308"/>
    <w:rsid w:val="00597FA9"/>
    <w:rsid w:val="005A2968"/>
    <w:rsid w:val="005A7D1D"/>
    <w:rsid w:val="005B2592"/>
    <w:rsid w:val="005B3C45"/>
    <w:rsid w:val="005C4034"/>
    <w:rsid w:val="005C65C9"/>
    <w:rsid w:val="005E6B88"/>
    <w:rsid w:val="005E6FE5"/>
    <w:rsid w:val="005E7B84"/>
    <w:rsid w:val="005F07A8"/>
    <w:rsid w:val="005F0848"/>
    <w:rsid w:val="005F08B3"/>
    <w:rsid w:val="005F448A"/>
    <w:rsid w:val="00602848"/>
    <w:rsid w:val="0061034A"/>
    <w:rsid w:val="00612A32"/>
    <w:rsid w:val="00613F7E"/>
    <w:rsid w:val="006146FD"/>
    <w:rsid w:val="00615321"/>
    <w:rsid w:val="0062009A"/>
    <w:rsid w:val="006237DC"/>
    <w:rsid w:val="00627555"/>
    <w:rsid w:val="00630AAA"/>
    <w:rsid w:val="006356F6"/>
    <w:rsid w:val="00642313"/>
    <w:rsid w:val="00650C1F"/>
    <w:rsid w:val="00661394"/>
    <w:rsid w:val="00671A46"/>
    <w:rsid w:val="00684E67"/>
    <w:rsid w:val="00690219"/>
    <w:rsid w:val="00691AF0"/>
    <w:rsid w:val="00693DB8"/>
    <w:rsid w:val="006A0E04"/>
    <w:rsid w:val="006A20F1"/>
    <w:rsid w:val="006A224D"/>
    <w:rsid w:val="006A2E3A"/>
    <w:rsid w:val="006B25C8"/>
    <w:rsid w:val="006B7D15"/>
    <w:rsid w:val="006C2596"/>
    <w:rsid w:val="006C6E28"/>
    <w:rsid w:val="006E31C8"/>
    <w:rsid w:val="006F082C"/>
    <w:rsid w:val="006F0F2C"/>
    <w:rsid w:val="0070078B"/>
    <w:rsid w:val="0070383A"/>
    <w:rsid w:val="00706B40"/>
    <w:rsid w:val="007110BD"/>
    <w:rsid w:val="00717F97"/>
    <w:rsid w:val="00720F3B"/>
    <w:rsid w:val="00721816"/>
    <w:rsid w:val="00722A9E"/>
    <w:rsid w:val="00727594"/>
    <w:rsid w:val="00733637"/>
    <w:rsid w:val="0074001F"/>
    <w:rsid w:val="007411E4"/>
    <w:rsid w:val="00753EC7"/>
    <w:rsid w:val="00755A68"/>
    <w:rsid w:val="00763314"/>
    <w:rsid w:val="00781707"/>
    <w:rsid w:val="00784E78"/>
    <w:rsid w:val="007869F3"/>
    <w:rsid w:val="00786E3A"/>
    <w:rsid w:val="00793801"/>
    <w:rsid w:val="0079495F"/>
    <w:rsid w:val="00796314"/>
    <w:rsid w:val="007974D6"/>
    <w:rsid w:val="007A18E8"/>
    <w:rsid w:val="007A5357"/>
    <w:rsid w:val="007B33FE"/>
    <w:rsid w:val="007C058D"/>
    <w:rsid w:val="007C64A0"/>
    <w:rsid w:val="007C76AE"/>
    <w:rsid w:val="007D2616"/>
    <w:rsid w:val="007F0103"/>
    <w:rsid w:val="00800A03"/>
    <w:rsid w:val="008014DE"/>
    <w:rsid w:val="00801675"/>
    <w:rsid w:val="00804059"/>
    <w:rsid w:val="00806F12"/>
    <w:rsid w:val="008157D8"/>
    <w:rsid w:val="00820F1E"/>
    <w:rsid w:val="00823D27"/>
    <w:rsid w:val="00830DF4"/>
    <w:rsid w:val="00840D9E"/>
    <w:rsid w:val="008412D7"/>
    <w:rsid w:val="00856FE6"/>
    <w:rsid w:val="0086399B"/>
    <w:rsid w:val="0086495D"/>
    <w:rsid w:val="00867DFC"/>
    <w:rsid w:val="00867F0F"/>
    <w:rsid w:val="0087232B"/>
    <w:rsid w:val="00872CA6"/>
    <w:rsid w:val="008814F7"/>
    <w:rsid w:val="00884CDF"/>
    <w:rsid w:val="00887F51"/>
    <w:rsid w:val="008916EA"/>
    <w:rsid w:val="00895C8C"/>
    <w:rsid w:val="00896023"/>
    <w:rsid w:val="0089657A"/>
    <w:rsid w:val="00897969"/>
    <w:rsid w:val="008A1539"/>
    <w:rsid w:val="008A27EA"/>
    <w:rsid w:val="008B1FC2"/>
    <w:rsid w:val="008B5A1A"/>
    <w:rsid w:val="008B6C37"/>
    <w:rsid w:val="008C254F"/>
    <w:rsid w:val="008D050C"/>
    <w:rsid w:val="008D13BB"/>
    <w:rsid w:val="008D74A9"/>
    <w:rsid w:val="008F7B3F"/>
    <w:rsid w:val="009112F1"/>
    <w:rsid w:val="00912A90"/>
    <w:rsid w:val="00917A53"/>
    <w:rsid w:val="0092354B"/>
    <w:rsid w:val="00925FFD"/>
    <w:rsid w:val="00927E03"/>
    <w:rsid w:val="00932EF5"/>
    <w:rsid w:val="00937EB0"/>
    <w:rsid w:val="00942F4D"/>
    <w:rsid w:val="00945895"/>
    <w:rsid w:val="00951D22"/>
    <w:rsid w:val="00951F02"/>
    <w:rsid w:val="00961B82"/>
    <w:rsid w:val="00962BD2"/>
    <w:rsid w:val="00963B17"/>
    <w:rsid w:val="00965430"/>
    <w:rsid w:val="00966F02"/>
    <w:rsid w:val="0096792F"/>
    <w:rsid w:val="009853F5"/>
    <w:rsid w:val="00996F45"/>
    <w:rsid w:val="0099760A"/>
    <w:rsid w:val="009D0AA0"/>
    <w:rsid w:val="009D2C00"/>
    <w:rsid w:val="009E25EE"/>
    <w:rsid w:val="009F2523"/>
    <w:rsid w:val="009F5DD8"/>
    <w:rsid w:val="00A073AA"/>
    <w:rsid w:val="00A07587"/>
    <w:rsid w:val="00A07905"/>
    <w:rsid w:val="00A317B2"/>
    <w:rsid w:val="00A33A7B"/>
    <w:rsid w:val="00A359DD"/>
    <w:rsid w:val="00A35F21"/>
    <w:rsid w:val="00A37DA4"/>
    <w:rsid w:val="00A415FC"/>
    <w:rsid w:val="00A46314"/>
    <w:rsid w:val="00A47940"/>
    <w:rsid w:val="00A47AA9"/>
    <w:rsid w:val="00A47CEF"/>
    <w:rsid w:val="00A54603"/>
    <w:rsid w:val="00A5775F"/>
    <w:rsid w:val="00A63D8D"/>
    <w:rsid w:val="00A667DA"/>
    <w:rsid w:val="00A722E3"/>
    <w:rsid w:val="00A73968"/>
    <w:rsid w:val="00A74DB0"/>
    <w:rsid w:val="00A77607"/>
    <w:rsid w:val="00A858CE"/>
    <w:rsid w:val="00A85F96"/>
    <w:rsid w:val="00A930D3"/>
    <w:rsid w:val="00AA205E"/>
    <w:rsid w:val="00AA4797"/>
    <w:rsid w:val="00AA7F18"/>
    <w:rsid w:val="00AB214F"/>
    <w:rsid w:val="00AB550F"/>
    <w:rsid w:val="00AB57AE"/>
    <w:rsid w:val="00AC33B8"/>
    <w:rsid w:val="00AC54D8"/>
    <w:rsid w:val="00AC62AA"/>
    <w:rsid w:val="00AD0EDB"/>
    <w:rsid w:val="00AD7B35"/>
    <w:rsid w:val="00AE1672"/>
    <w:rsid w:val="00AF6C16"/>
    <w:rsid w:val="00AF7701"/>
    <w:rsid w:val="00B017D9"/>
    <w:rsid w:val="00B02B51"/>
    <w:rsid w:val="00B053B0"/>
    <w:rsid w:val="00B07654"/>
    <w:rsid w:val="00B1153B"/>
    <w:rsid w:val="00B131B7"/>
    <w:rsid w:val="00B3578D"/>
    <w:rsid w:val="00B35F29"/>
    <w:rsid w:val="00B400DB"/>
    <w:rsid w:val="00B4145E"/>
    <w:rsid w:val="00B41711"/>
    <w:rsid w:val="00B449BB"/>
    <w:rsid w:val="00B46416"/>
    <w:rsid w:val="00B47D50"/>
    <w:rsid w:val="00B504BD"/>
    <w:rsid w:val="00B5243C"/>
    <w:rsid w:val="00B60CB9"/>
    <w:rsid w:val="00B64CA8"/>
    <w:rsid w:val="00B71117"/>
    <w:rsid w:val="00B723D2"/>
    <w:rsid w:val="00B75F12"/>
    <w:rsid w:val="00B7770C"/>
    <w:rsid w:val="00B819FA"/>
    <w:rsid w:val="00B831CF"/>
    <w:rsid w:val="00B85009"/>
    <w:rsid w:val="00B90C8E"/>
    <w:rsid w:val="00B91C2B"/>
    <w:rsid w:val="00B92943"/>
    <w:rsid w:val="00B93027"/>
    <w:rsid w:val="00B95DDA"/>
    <w:rsid w:val="00BA022F"/>
    <w:rsid w:val="00BA5E29"/>
    <w:rsid w:val="00BB4722"/>
    <w:rsid w:val="00BB59AF"/>
    <w:rsid w:val="00BC12CD"/>
    <w:rsid w:val="00BC25F2"/>
    <w:rsid w:val="00BC54C9"/>
    <w:rsid w:val="00BC5DED"/>
    <w:rsid w:val="00BD6737"/>
    <w:rsid w:val="00BF2370"/>
    <w:rsid w:val="00BF6CBC"/>
    <w:rsid w:val="00C043A3"/>
    <w:rsid w:val="00C059D5"/>
    <w:rsid w:val="00C10513"/>
    <w:rsid w:val="00C12391"/>
    <w:rsid w:val="00C1300B"/>
    <w:rsid w:val="00C14206"/>
    <w:rsid w:val="00C17215"/>
    <w:rsid w:val="00C200E1"/>
    <w:rsid w:val="00C20992"/>
    <w:rsid w:val="00C256EA"/>
    <w:rsid w:val="00C27BCC"/>
    <w:rsid w:val="00C40364"/>
    <w:rsid w:val="00C43BDE"/>
    <w:rsid w:val="00C445A8"/>
    <w:rsid w:val="00C4627C"/>
    <w:rsid w:val="00C5106F"/>
    <w:rsid w:val="00C55310"/>
    <w:rsid w:val="00C607AE"/>
    <w:rsid w:val="00C61F41"/>
    <w:rsid w:val="00C65F80"/>
    <w:rsid w:val="00C67602"/>
    <w:rsid w:val="00C70424"/>
    <w:rsid w:val="00C70677"/>
    <w:rsid w:val="00C71BB8"/>
    <w:rsid w:val="00C7471E"/>
    <w:rsid w:val="00C77B69"/>
    <w:rsid w:val="00C77E92"/>
    <w:rsid w:val="00CB3218"/>
    <w:rsid w:val="00CB7F5E"/>
    <w:rsid w:val="00CC057E"/>
    <w:rsid w:val="00CD0DF4"/>
    <w:rsid w:val="00CD6526"/>
    <w:rsid w:val="00CE4960"/>
    <w:rsid w:val="00CF2F53"/>
    <w:rsid w:val="00CF5066"/>
    <w:rsid w:val="00CF743C"/>
    <w:rsid w:val="00D0128E"/>
    <w:rsid w:val="00D01774"/>
    <w:rsid w:val="00D113C4"/>
    <w:rsid w:val="00D16438"/>
    <w:rsid w:val="00D17A0B"/>
    <w:rsid w:val="00D20FF7"/>
    <w:rsid w:val="00D2606F"/>
    <w:rsid w:val="00D2764F"/>
    <w:rsid w:val="00D27BF7"/>
    <w:rsid w:val="00D31FEE"/>
    <w:rsid w:val="00D36B47"/>
    <w:rsid w:val="00D37528"/>
    <w:rsid w:val="00D46719"/>
    <w:rsid w:val="00D47827"/>
    <w:rsid w:val="00D55EA3"/>
    <w:rsid w:val="00D6316F"/>
    <w:rsid w:val="00D67545"/>
    <w:rsid w:val="00D7621B"/>
    <w:rsid w:val="00D807F7"/>
    <w:rsid w:val="00D8184C"/>
    <w:rsid w:val="00D95EA1"/>
    <w:rsid w:val="00D96514"/>
    <w:rsid w:val="00DA2913"/>
    <w:rsid w:val="00DB6271"/>
    <w:rsid w:val="00DC1791"/>
    <w:rsid w:val="00DC191C"/>
    <w:rsid w:val="00DC1D6A"/>
    <w:rsid w:val="00DC2A17"/>
    <w:rsid w:val="00DC2D66"/>
    <w:rsid w:val="00DC4E24"/>
    <w:rsid w:val="00DD45DA"/>
    <w:rsid w:val="00DE048E"/>
    <w:rsid w:val="00DE0983"/>
    <w:rsid w:val="00DE742F"/>
    <w:rsid w:val="00DF7746"/>
    <w:rsid w:val="00DF7A85"/>
    <w:rsid w:val="00E06ED7"/>
    <w:rsid w:val="00E07623"/>
    <w:rsid w:val="00E2262F"/>
    <w:rsid w:val="00E22BFE"/>
    <w:rsid w:val="00E22D51"/>
    <w:rsid w:val="00E30A13"/>
    <w:rsid w:val="00E31F4C"/>
    <w:rsid w:val="00E33A2C"/>
    <w:rsid w:val="00E349EE"/>
    <w:rsid w:val="00E415DE"/>
    <w:rsid w:val="00E460A8"/>
    <w:rsid w:val="00E476C4"/>
    <w:rsid w:val="00E47C43"/>
    <w:rsid w:val="00E50D69"/>
    <w:rsid w:val="00E522B2"/>
    <w:rsid w:val="00E54EB9"/>
    <w:rsid w:val="00E64837"/>
    <w:rsid w:val="00E65017"/>
    <w:rsid w:val="00E67264"/>
    <w:rsid w:val="00E70AAA"/>
    <w:rsid w:val="00E7179C"/>
    <w:rsid w:val="00E82B6D"/>
    <w:rsid w:val="00E830B9"/>
    <w:rsid w:val="00E84AB9"/>
    <w:rsid w:val="00E875E5"/>
    <w:rsid w:val="00E91DD9"/>
    <w:rsid w:val="00E91E73"/>
    <w:rsid w:val="00E925F9"/>
    <w:rsid w:val="00E92883"/>
    <w:rsid w:val="00E968CA"/>
    <w:rsid w:val="00E973DC"/>
    <w:rsid w:val="00EA04CF"/>
    <w:rsid w:val="00EA1CEF"/>
    <w:rsid w:val="00EA61EE"/>
    <w:rsid w:val="00EB69EC"/>
    <w:rsid w:val="00EC5463"/>
    <w:rsid w:val="00ED34CC"/>
    <w:rsid w:val="00EE14D4"/>
    <w:rsid w:val="00EE1865"/>
    <w:rsid w:val="00EE4EA4"/>
    <w:rsid w:val="00EE6135"/>
    <w:rsid w:val="00EE6730"/>
    <w:rsid w:val="00EF62E4"/>
    <w:rsid w:val="00F03A8B"/>
    <w:rsid w:val="00F05218"/>
    <w:rsid w:val="00F13667"/>
    <w:rsid w:val="00F164F5"/>
    <w:rsid w:val="00F20DC5"/>
    <w:rsid w:val="00F22624"/>
    <w:rsid w:val="00F24F37"/>
    <w:rsid w:val="00F256DF"/>
    <w:rsid w:val="00F31C12"/>
    <w:rsid w:val="00F3312C"/>
    <w:rsid w:val="00F349DC"/>
    <w:rsid w:val="00F627D0"/>
    <w:rsid w:val="00F62F65"/>
    <w:rsid w:val="00F70ADA"/>
    <w:rsid w:val="00F74420"/>
    <w:rsid w:val="00F75B1E"/>
    <w:rsid w:val="00F763FA"/>
    <w:rsid w:val="00F85603"/>
    <w:rsid w:val="00F86B22"/>
    <w:rsid w:val="00F914A4"/>
    <w:rsid w:val="00F94CF8"/>
    <w:rsid w:val="00F9563E"/>
    <w:rsid w:val="00F95A96"/>
    <w:rsid w:val="00F9748D"/>
    <w:rsid w:val="00FB0BAC"/>
    <w:rsid w:val="00FB1032"/>
    <w:rsid w:val="00FC0094"/>
    <w:rsid w:val="00FD1513"/>
    <w:rsid w:val="00FD4F25"/>
    <w:rsid w:val="00FD689D"/>
    <w:rsid w:val="00FE1A11"/>
    <w:rsid w:val="00FF5BCC"/>
    <w:rsid w:val="00FF69BB"/>
    <w:rsid w:val="00FF72EC"/>
    <w:rsid w:val="606E1CDF"/>
    <w:rsid w:val="635324F8"/>
    <w:rsid w:val="6B4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0"/>
    <w:semiHidden/>
    <w:uiPriority w:val="99"/>
    <w:rPr>
      <w:b/>
      <w:bCs/>
    </w:rPr>
  </w:style>
  <w:style w:type="paragraph" w:styleId="3">
    <w:name w:val="annotation text"/>
    <w:basedOn w:val="1"/>
    <w:link w:val="9"/>
    <w:semiHidden/>
    <w:qFormat/>
    <w:uiPriority w:val="99"/>
    <w:pPr>
      <w:jc w:val="left"/>
    </w:pPr>
  </w:style>
  <w:style w:type="paragraph" w:styleId="4">
    <w:name w:val="Balloon Text"/>
    <w:basedOn w:val="1"/>
    <w:link w:val="11"/>
    <w:semiHidden/>
    <w:uiPriority w:val="99"/>
    <w:rPr>
      <w:rFonts w:ascii="Heiti SC Light" w:eastAsia="Times New Roman"/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annotation reference"/>
    <w:basedOn w:val="5"/>
    <w:semiHidden/>
    <w:uiPriority w:val="99"/>
    <w:rPr>
      <w:rFonts w:cs="Times New Roman"/>
      <w:sz w:val="21"/>
      <w:szCs w:val="21"/>
    </w:rPr>
  </w:style>
  <w:style w:type="character" w:customStyle="1" w:styleId="9">
    <w:name w:val="批注文字 Char"/>
    <w:basedOn w:val="5"/>
    <w:link w:val="3"/>
    <w:semiHidden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0">
    <w:name w:val="批注主题 Char"/>
    <w:basedOn w:val="9"/>
    <w:link w:val="2"/>
    <w:semiHidden/>
    <w:locked/>
    <w:uiPriority w:val="99"/>
    <w:rPr>
      <w:b/>
      <w:bCs/>
    </w:rPr>
  </w:style>
  <w:style w:type="character" w:customStyle="1" w:styleId="11">
    <w:name w:val="批注框文本 Char"/>
    <w:basedOn w:val="5"/>
    <w:link w:val="4"/>
    <w:semiHidden/>
    <w:locked/>
    <w:uiPriority w:val="99"/>
    <w:rPr>
      <w:rFonts w:ascii="Heiti SC Light" w:hAnsi="Times New Roman" w:eastAsia="Times New Roman" w:cs="Times New Roman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366</Words>
  <Characters>2092</Characters>
  <Lines>17</Lines>
  <Paragraphs>4</Paragraphs>
  <ScaleCrop>false</ScaleCrop>
  <LinksUpToDate>false</LinksUpToDate>
  <CharactersWithSpaces>2454</CharactersWithSpaces>
  <Application>WPS Office_10.1.0.7022_F1E327BC-269C-435d-A152-05C5408002CA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2017-09-19T02:14:00Z</dcterms:created>
  <dc:creator>gly</dc:creator>
  <lastModifiedBy>wwyyqq</lastModifiedBy>
  <lastPrinted>2017-09-19T02:14:00Z</lastPrinted>
  <dcterms:modified xsi:type="dcterms:W3CDTF">2018-03-29T08:46:54Z</dcterms:modified>
  <revision>573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